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acifico" w:cs="Pacifico" w:eastAsia="Pacifico" w:hAnsi="Pacifico"/>
          <w:sz w:val="32"/>
          <w:szCs w:val="32"/>
        </w:rPr>
      </w:pPr>
      <w:r w:rsidDel="00000000" w:rsidR="00000000" w:rsidRPr="00000000">
        <w:rPr>
          <w:rFonts w:ascii="Pacifico" w:cs="Pacifico" w:eastAsia="Pacifico" w:hAnsi="Pacifico"/>
          <w:sz w:val="32"/>
          <w:szCs w:val="32"/>
          <w:rtl w:val="0"/>
        </w:rPr>
        <w:t xml:space="preserve">Can I Make a Beracha on non-Kosher Food?</w:t>
      </w:r>
    </w:p>
    <w:p w:rsidR="00000000" w:rsidDel="00000000" w:rsidP="00000000" w:rsidRDefault="00000000" w:rsidRPr="00000000" w14:paraId="00000002">
      <w:pPr>
        <w:jc w:val="cente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Bava Kamma 95a</w:t>
      </w:r>
    </w:p>
    <w:tbl>
      <w:tblPr>
        <w:tblStyle w:val="Table1"/>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Rabbi Eliezer ben Ya’akov says: In the case of one who robbed another of a </w:t>
            </w:r>
            <w:r w:rsidDel="00000000" w:rsidR="00000000" w:rsidRPr="00000000">
              <w:rPr>
                <w:rFonts w:ascii="EB Garamond" w:cs="EB Garamond" w:eastAsia="EB Garamond" w:hAnsi="EB Garamond"/>
                <w:i w:val="1"/>
                <w:sz w:val="24"/>
                <w:szCs w:val="24"/>
                <w:rtl w:val="0"/>
              </w:rPr>
              <w:t xml:space="preserve">se’a</w:t>
            </w:r>
            <w:r w:rsidDel="00000000" w:rsidR="00000000" w:rsidRPr="00000000">
              <w:rPr>
                <w:rFonts w:ascii="EB Garamond" w:cs="EB Garamond" w:eastAsia="EB Garamond" w:hAnsi="EB Garamond"/>
                <w:sz w:val="24"/>
                <w:szCs w:val="24"/>
                <w:rtl w:val="0"/>
              </w:rPr>
              <w:t xml:space="preserve"> of wheat, then ground it, kneaded it, and baked it, and he then separated challa from it, [i.e., he separated the portion of the dough that one is required to separate and then give to a priest,] how can he recite the blessing over the separation of challa? This individual is not reciting a blessing, but rather he is </w:t>
            </w:r>
            <w:r w:rsidDel="00000000" w:rsidR="00000000" w:rsidRPr="00000000">
              <w:rPr>
                <w:rFonts w:ascii="EB Garamond" w:cs="EB Garamond" w:eastAsia="EB Garamond" w:hAnsi="EB Garamond"/>
                <w:b w:val="1"/>
                <w:sz w:val="24"/>
                <w:szCs w:val="24"/>
                <w:rtl w:val="0"/>
              </w:rPr>
              <w:t xml:space="preserve">insulting/disrespecting</w:t>
            </w:r>
            <w:r w:rsidDel="00000000" w:rsidR="00000000" w:rsidRPr="00000000">
              <w:rPr>
                <w:rFonts w:ascii="EB Garamond" w:cs="EB Garamond" w:eastAsia="EB Garamond" w:hAnsi="EB Garamond"/>
                <w:sz w:val="24"/>
                <w:szCs w:val="24"/>
                <w:rtl w:val="0"/>
              </w:rPr>
              <w:t xml:space="preserve"> God. And with regard to this it is stated: “The robber who recites a blessing disrespects Hashem (Psalms 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Open Sans" w:cs="Open Sans" w:eastAsia="Open Sans" w:hAnsi="Open Sans"/>
                <w:sz w:val="24"/>
                <w:szCs w:val="24"/>
              </w:rPr>
            </w:pPr>
            <w:r w:rsidDel="00000000" w:rsidR="00000000" w:rsidRPr="00000000">
              <w:rPr>
                <w:rFonts w:ascii="Arial" w:cs="Arial" w:eastAsia="Arial" w:hAnsi="Arial"/>
                <w:sz w:val="24"/>
                <w:szCs w:val="24"/>
                <w:rtl w:val="1"/>
              </w:rPr>
              <w:t xml:space="preserve">דתניא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אליעזר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יעקב</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אומר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הרי</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שגזל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סאה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של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חטין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טחנה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לשה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ואפאה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והפריש</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ממנה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חלה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כיצד</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מברך</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זה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מברך</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אלא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מנאץ</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ועל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זה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נאמר</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תהלים</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י</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ג</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בוצע</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ברך</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נאץ</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ה</w:t>
            </w:r>
            <w:r w:rsidDel="00000000" w:rsidR="00000000" w:rsidRPr="00000000">
              <w:rPr>
                <w:rFonts w:ascii="Arial" w:cs="Arial" w:eastAsia="Arial" w:hAnsi="Arial"/>
                <w:sz w:val="24"/>
                <w:szCs w:val="24"/>
                <w:rtl w:val="1"/>
              </w:rPr>
              <w:t xml:space="preserve">׳.׳׳</w:t>
            </w:r>
          </w:p>
        </w:tc>
      </w:tr>
    </w:tbl>
    <w:p w:rsidR="00000000" w:rsidDel="00000000" w:rsidP="00000000" w:rsidRDefault="00000000" w:rsidRPr="00000000" w14:paraId="00000006">
      <w:pPr>
        <w:ind w:left="72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7">
      <w:pPr>
        <w:numPr>
          <w:ilvl w:val="0"/>
          <w:numId w:val="1"/>
        </w:numPr>
        <w:ind w:left="720" w:hanging="36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Berachot 45a</w:t>
      </w:r>
    </w:p>
    <w:tbl>
      <w:tblPr>
        <w:tblStyle w:val="Table2"/>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One who ate untithed produce [</w:t>
            </w:r>
            <w:r w:rsidDel="00000000" w:rsidR="00000000" w:rsidRPr="00000000">
              <w:rPr>
                <w:rFonts w:ascii="EB Garamond" w:cs="EB Garamond" w:eastAsia="EB Garamond" w:hAnsi="EB Garamond"/>
                <w:i w:val="1"/>
                <w:sz w:val="24"/>
                <w:szCs w:val="24"/>
                <w:rtl w:val="0"/>
              </w:rPr>
              <w:t xml:space="preserve">tevel</w:t>
            </w:r>
            <w:r w:rsidDel="00000000" w:rsidR="00000000" w:rsidRPr="00000000">
              <w:rPr>
                <w:rFonts w:ascii="EB Garamond" w:cs="EB Garamond" w:eastAsia="EB Garamond" w:hAnsi="EB Garamond"/>
                <w:sz w:val="24"/>
                <w:szCs w:val="24"/>
                <w:rtl w:val="0"/>
              </w:rPr>
              <w:t xml:space="preserve">], and first tithe from which its </w:t>
            </w:r>
            <w:r w:rsidDel="00000000" w:rsidR="00000000" w:rsidRPr="00000000">
              <w:rPr>
                <w:rFonts w:ascii="EB Garamond" w:cs="EB Garamond" w:eastAsia="EB Garamond" w:hAnsi="EB Garamond"/>
                <w:i w:val="1"/>
                <w:sz w:val="24"/>
                <w:szCs w:val="24"/>
                <w:rtl w:val="0"/>
              </w:rPr>
              <w:t xml:space="preserve">teruma</w:t>
            </w:r>
            <w:r w:rsidDel="00000000" w:rsidR="00000000" w:rsidRPr="00000000">
              <w:rPr>
                <w:rFonts w:ascii="EB Garamond" w:cs="EB Garamond" w:eastAsia="EB Garamond" w:hAnsi="EB Garamond"/>
                <w:sz w:val="24"/>
                <w:szCs w:val="24"/>
                <w:rtl w:val="0"/>
              </w:rPr>
              <w:t xml:space="preserve"> was not separated… is not included among the three obligated with whom they ate in a zimmun.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Open Sans" w:cs="Open Sans" w:eastAsia="Open Sans" w:hAnsi="Open Sans"/>
                <w:sz w:val="24"/>
                <w:szCs w:val="24"/>
              </w:rPr>
            </w:pP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ט</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ע</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נ</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ט</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ת</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תו</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ז</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נ</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ע</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יו</w:t>
            </w:r>
            <w:r w:rsidDel="00000000" w:rsidR="00000000" w:rsidRPr="00000000">
              <w:rPr>
                <w:rFonts w:ascii="Open Sans" w:cs="Open Sans" w:eastAsia="Open Sans" w:hAnsi="Open Sans"/>
                <w:sz w:val="24"/>
                <w:szCs w:val="24"/>
                <w:rtl w:val="1"/>
              </w:rPr>
              <w:t xml:space="preserve">.</w:t>
            </w:r>
          </w:p>
        </w:tc>
      </w:tr>
    </w:tbl>
    <w:p w:rsidR="00000000" w:rsidDel="00000000" w:rsidP="00000000" w:rsidRDefault="00000000" w:rsidRPr="00000000" w14:paraId="0000000A">
      <w:pPr>
        <w:ind w:left="72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B">
      <w:pPr>
        <w:numPr>
          <w:ilvl w:val="0"/>
          <w:numId w:val="1"/>
        </w:numPr>
        <w:ind w:left="720" w:hanging="36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Rambam, Laws of Berachot 1:19 (Rabbi Avraham ben Maimon, 12th Century Egypt)</w:t>
      </w:r>
    </w:p>
    <w:tbl>
      <w:tblPr>
        <w:tblStyle w:val="Table3"/>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Whoever eats forbidden food, wilfully or in error—recites no blessing either before or after. For example, if one eats of that which is Rabbinically regarded as Tevel (produce from which priest's dues and Levite's tithes should have been, but had not been separated), or eats Levite's tithes from which the priest's dues (two per cent by the original owners, and ten per cent by the Levite of his portion) had not been taken, or eats (outside Jerusalem) Second tithes (which should be consumed in Jerusalem), or consumes that which had been set apart for the Sanctuary and had not been properly redeemed, </w:t>
            </w:r>
            <w:r w:rsidDel="00000000" w:rsidR="00000000" w:rsidRPr="00000000">
              <w:rPr>
                <w:rFonts w:ascii="EB Garamond" w:cs="EB Garamond" w:eastAsia="EB Garamond" w:hAnsi="EB Garamond"/>
                <w:b w:val="1"/>
                <w:sz w:val="24"/>
                <w:szCs w:val="24"/>
                <w:rtl w:val="0"/>
              </w:rPr>
              <w:t xml:space="preserve">he does not recite the blessings for the food.</w:t>
            </w:r>
            <w:r w:rsidDel="00000000" w:rsidR="00000000" w:rsidRPr="00000000">
              <w:rPr>
                <w:rFonts w:ascii="EB Garamond" w:cs="EB Garamond" w:eastAsia="EB Garamond" w:hAnsi="EB Garamond"/>
                <w:sz w:val="24"/>
                <w:szCs w:val="24"/>
                <w:rtl w:val="0"/>
              </w:rPr>
              <w:t xml:space="preserve"> Needless to add that no blessing is recited if flesh is eaten of a beast that was not properly slain or was pronounced unfit for consumption by Jews owing to a lesion, or if wine is drunk that is forbidden to Jews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Open Sans" w:cs="Open Sans" w:eastAsia="Open Sans" w:hAnsi="Open Sans"/>
                <w:sz w:val="24"/>
                <w:szCs w:val="24"/>
              </w:rPr>
            </w:pP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ה</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ד</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ה</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סו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ז</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דו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ג</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ג</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ה</w:t>
            </w:r>
            <w:r w:rsidDel="00000000" w:rsidR="00000000" w:rsidRPr="00000000">
              <w:rPr>
                <w:rFonts w:ascii="Open Sans" w:cs="Open Sans" w:eastAsia="Open Sans" w:hAnsi="Open Sans"/>
                <w:sz w:val="24"/>
                <w:szCs w:val="24"/>
                <w:rtl w:val="1"/>
              </w:rPr>
              <w:t xml:space="preserve"> -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ינו</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ך</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ע</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יו</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ת</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ח</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ס</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ף</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יצ</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ד</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ה</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ט</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פ</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ט</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ד</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ד</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יה</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ם</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או</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ע</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נ</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ט</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לו</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ת</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מו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ת</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יו</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או</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ע</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נ</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ה</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ק</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ד</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נ</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פ</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ד</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ה</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ת</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ן</w:t>
            </w:r>
            <w:r w:rsidDel="00000000" w:rsidR="00000000" w:rsidRPr="00000000">
              <w:rPr>
                <w:rFonts w:ascii="Open Sans" w:cs="Open Sans" w:eastAsia="Open Sans" w:hAnsi="Open Sans"/>
                <w:sz w:val="24"/>
                <w:szCs w:val="24"/>
                <w:rtl w:val="1"/>
              </w:rPr>
              <w:t xml:space="preserve"> -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ינו</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ך</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צ</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יך</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לו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ם</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נ</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ת</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ט</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פו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ת</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או</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ת</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י</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נ</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ס</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ך</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צ</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ה</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ן</w:t>
            </w:r>
            <w:r w:rsidDel="00000000" w:rsidR="00000000" w:rsidRPr="00000000">
              <w:rPr>
                <w:rFonts w:ascii="Open Sans" w:cs="Open Sans" w:eastAsia="Open Sans" w:hAnsi="Open Sans"/>
                <w:sz w:val="24"/>
                <w:szCs w:val="24"/>
                <w:rtl w:val="1"/>
              </w:rPr>
              <w:t xml:space="preserve">.</w:t>
            </w:r>
          </w:p>
        </w:tc>
      </w:tr>
    </w:tbl>
    <w:p w:rsidR="00000000" w:rsidDel="00000000" w:rsidP="00000000" w:rsidRDefault="00000000" w:rsidRPr="00000000" w14:paraId="0000000E">
      <w:pPr>
        <w:ind w:left="72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F">
      <w:pPr>
        <w:numPr>
          <w:ilvl w:val="0"/>
          <w:numId w:val="1"/>
        </w:numPr>
        <w:ind w:left="720" w:hanging="36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Ra’avad (Rabbi Abraham ben David, 12th Century France)</w:t>
      </w:r>
    </w:p>
    <w:tbl>
      <w:tblPr>
        <w:tblStyle w:val="Table4"/>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Rambam] made a big mistake [in understanding the mishna]. The mishna doesn’t say to not recite </w:t>
            </w:r>
            <w:r w:rsidDel="00000000" w:rsidR="00000000" w:rsidRPr="00000000">
              <w:rPr>
                <w:rFonts w:ascii="EB Garamond" w:cs="EB Garamond" w:eastAsia="EB Garamond" w:hAnsi="EB Garamond"/>
                <w:i w:val="1"/>
                <w:sz w:val="24"/>
                <w:szCs w:val="24"/>
                <w:rtl w:val="0"/>
              </w:rPr>
              <w:t xml:space="preserve">berachot</w:t>
            </w:r>
            <w:r w:rsidDel="00000000" w:rsidR="00000000" w:rsidRPr="00000000">
              <w:rPr>
                <w:rFonts w:ascii="EB Garamond" w:cs="EB Garamond" w:eastAsia="EB Garamond" w:hAnsi="EB Garamond"/>
                <w:sz w:val="24"/>
                <w:szCs w:val="24"/>
                <w:rtl w:val="0"/>
              </w:rPr>
              <w:t xml:space="preserve">, but it </w:t>
            </w:r>
            <w:r w:rsidDel="00000000" w:rsidR="00000000" w:rsidRPr="00000000">
              <w:rPr>
                <w:rFonts w:ascii="EB Garamond" w:cs="EB Garamond" w:eastAsia="EB Garamond" w:hAnsi="EB Garamond"/>
                <w:sz w:val="24"/>
                <w:szCs w:val="24"/>
                <w:rtl w:val="0"/>
              </w:rPr>
              <w:t xml:space="preserve">says that one does not do a </w:t>
            </w:r>
            <w:r w:rsidDel="00000000" w:rsidR="00000000" w:rsidRPr="00000000">
              <w:rPr>
                <w:rFonts w:ascii="EB Garamond" w:cs="EB Garamond" w:eastAsia="EB Garamond" w:hAnsi="EB Garamond"/>
                <w:i w:val="1"/>
                <w:sz w:val="24"/>
                <w:szCs w:val="24"/>
                <w:rtl w:val="0"/>
              </w:rPr>
              <w:t xml:space="preserve">zimmun</w:t>
            </w:r>
            <w:r w:rsidDel="00000000" w:rsidR="00000000" w:rsidRPr="00000000">
              <w:rPr>
                <w:rFonts w:ascii="EB Garamond" w:cs="EB Garamond" w:eastAsia="EB Garamond" w:hAnsi="EB Garamond"/>
                <w:sz w:val="24"/>
                <w:szCs w:val="24"/>
                <w:rtl w:val="0"/>
              </w:rPr>
              <w:t xml:space="preserve"> for </w:t>
            </w:r>
            <w:r w:rsidDel="00000000" w:rsidR="00000000" w:rsidRPr="00000000">
              <w:rPr>
                <w:rFonts w:ascii="EB Garamond" w:cs="EB Garamond" w:eastAsia="EB Garamond" w:hAnsi="EB Garamond"/>
                <w:i w:val="1"/>
                <w:sz w:val="24"/>
                <w:szCs w:val="24"/>
                <w:rtl w:val="0"/>
              </w:rPr>
              <w:t xml:space="preserve">birkat ha-mazon</w:t>
            </w:r>
            <w:r w:rsidDel="00000000" w:rsidR="00000000" w:rsidRPr="00000000">
              <w:rPr>
                <w:rFonts w:ascii="EB Garamond" w:cs="EB Garamond" w:eastAsia="EB Garamond" w:hAnsi="EB Garamond"/>
                <w:sz w:val="24"/>
                <w:szCs w:val="24"/>
                <w:rtl w:val="0"/>
              </w:rPr>
              <w:t xml:space="preserve"> because eating forbidden foods has no value in contributing to a </w:t>
            </w:r>
            <w:r w:rsidDel="00000000" w:rsidR="00000000" w:rsidRPr="00000000">
              <w:rPr>
                <w:rFonts w:ascii="EB Garamond" w:cs="EB Garamond" w:eastAsia="EB Garamond" w:hAnsi="EB Garamond"/>
                <w:i w:val="1"/>
                <w:sz w:val="24"/>
                <w:szCs w:val="24"/>
                <w:rtl w:val="0"/>
              </w:rPr>
              <w:t xml:space="preserve">zimmun</w:t>
            </w:r>
            <w:r w:rsidDel="00000000" w:rsidR="00000000" w:rsidRPr="00000000">
              <w:rPr>
                <w:rFonts w:ascii="EB Garamond" w:cs="EB Garamond" w:eastAsia="EB Garamond" w:hAnsi="EB Garamond"/>
                <w:sz w:val="24"/>
                <w:szCs w:val="24"/>
                <w:rtl w:val="0"/>
              </w:rPr>
              <w:t xml:space="preserve">, it’s like eating fruits [which is not satisfying enough to say </w:t>
            </w:r>
            <w:r w:rsidDel="00000000" w:rsidR="00000000" w:rsidRPr="00000000">
              <w:rPr>
                <w:rFonts w:ascii="EB Garamond" w:cs="EB Garamond" w:eastAsia="EB Garamond" w:hAnsi="EB Garamond"/>
                <w:i w:val="1"/>
                <w:sz w:val="24"/>
                <w:szCs w:val="24"/>
                <w:rtl w:val="0"/>
              </w:rPr>
              <w:t xml:space="preserve">birkat ha-mazon/zimmun</w:t>
            </w:r>
            <w:r w:rsidDel="00000000" w:rsidR="00000000" w:rsidRPr="00000000">
              <w:rPr>
                <w:rFonts w:ascii="EB Garamond" w:cs="EB Garamond" w:eastAsia="EB Garamond" w:hAnsi="EB Garamond"/>
                <w:sz w:val="24"/>
                <w:szCs w:val="24"/>
                <w:rtl w:val="0"/>
              </w:rPr>
              <w:t xml:space="preserve"> after eating]. But why should you not make a </w:t>
            </w:r>
            <w:r w:rsidDel="00000000" w:rsidR="00000000" w:rsidRPr="00000000">
              <w:rPr>
                <w:rFonts w:ascii="EB Garamond" w:cs="EB Garamond" w:eastAsia="EB Garamond" w:hAnsi="EB Garamond"/>
                <w:i w:val="1"/>
                <w:sz w:val="24"/>
                <w:szCs w:val="24"/>
                <w:rtl w:val="0"/>
              </w:rPr>
              <w:t xml:space="preserve">beracha</w:t>
            </w:r>
            <w:r w:rsidDel="00000000" w:rsidR="00000000" w:rsidRPr="00000000">
              <w:rPr>
                <w:rFonts w:ascii="EB Garamond" w:cs="EB Garamond" w:eastAsia="EB Garamond" w:hAnsi="EB Garamond"/>
                <w:sz w:val="24"/>
                <w:szCs w:val="24"/>
                <w:rtl w:val="0"/>
              </w:rPr>
              <w:t xml:space="preserve"> before and after eating [something forbidden], didn’t you benefit from eating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Open Sans" w:cs="Open Sans" w:eastAsia="Open Sans" w:hAnsi="Open Sans"/>
                <w:sz w:val="24"/>
                <w:szCs w:val="24"/>
              </w:rPr>
            </w:pPr>
            <w:r w:rsidDel="00000000" w:rsidR="00000000" w:rsidRPr="00000000">
              <w:rPr>
                <w:rFonts w:ascii="Arial" w:cs="Arial" w:eastAsia="Arial" w:hAnsi="Arial"/>
                <w:sz w:val="24"/>
                <w:szCs w:val="24"/>
                <w:rtl w:val="1"/>
              </w:rPr>
              <w:t xml:space="preserve">אמר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אברהם</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טעה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בזה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טעות</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גדולה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שלא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אמרו</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שאין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מברכין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אלא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i w:val="1"/>
                <w:sz w:val="24"/>
                <w:szCs w:val="24"/>
                <w:rtl w:val="1"/>
              </w:rPr>
              <w:t xml:space="preserve">שאין</w:t>
            </w:r>
            <w:r w:rsidDel="00000000" w:rsidR="00000000" w:rsidRPr="00000000">
              <w:rPr>
                <w:rFonts w:ascii="Open Sans" w:cs="Open Sans" w:eastAsia="Open Sans" w:hAnsi="Open Sans"/>
                <w:i w:val="1"/>
                <w:sz w:val="24"/>
                <w:szCs w:val="24"/>
                <w:rtl w:val="1"/>
              </w:rPr>
              <w:t xml:space="preserve"> </w:t>
            </w:r>
            <w:r w:rsidDel="00000000" w:rsidR="00000000" w:rsidRPr="00000000">
              <w:rPr>
                <w:rFonts w:ascii="Arial" w:cs="Arial" w:eastAsia="Arial" w:hAnsi="Arial"/>
                <w:i w:val="1"/>
                <w:sz w:val="24"/>
                <w:szCs w:val="24"/>
                <w:rtl w:val="1"/>
              </w:rPr>
              <w:t xml:space="preserve">מזמנין</w:t>
            </w:r>
            <w:r w:rsidDel="00000000" w:rsidR="00000000" w:rsidRPr="00000000">
              <w:rPr>
                <w:rtl w:val="0"/>
              </w:rPr>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עליהם</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לומר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שאין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להם</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חשיבות</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קביעות</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הואיל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ואוכלין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דבר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האסור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והוא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כעין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אכילת</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פירות</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שאין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להם</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קבע</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לזימון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אבל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ברכה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תחלה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וסוף</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למה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לא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יברכו</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הואיל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ונהנו</w:t>
            </w:r>
            <w:r w:rsidDel="00000000" w:rsidR="00000000" w:rsidRPr="00000000">
              <w:rPr>
                <w:rFonts w:ascii="Open Sans" w:cs="Open Sans" w:eastAsia="Open Sans" w:hAnsi="Open Sans"/>
                <w:sz w:val="24"/>
                <w:szCs w:val="24"/>
                <w:rtl w:val="1"/>
              </w:rPr>
              <w:t xml:space="preserve">?!</w:t>
            </w:r>
          </w:p>
        </w:tc>
      </w:tr>
    </w:tbl>
    <w:p w:rsidR="00000000" w:rsidDel="00000000" w:rsidP="00000000" w:rsidRDefault="00000000" w:rsidRPr="00000000" w14:paraId="00000012">
      <w:pPr>
        <w:ind w:left="72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3">
      <w:pPr>
        <w:numPr>
          <w:ilvl w:val="0"/>
          <w:numId w:val="1"/>
        </w:numPr>
        <w:ind w:left="720" w:hanging="36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Shulchan Aruch 196:1-2 (Rabbi Yosef Karo, 15th Century Spain)</w:t>
      </w:r>
    </w:p>
    <w:tbl>
      <w:tblPr>
        <w:tblStyle w:val="Table5"/>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ate something forbidden, even if it’s only rabbinically prohibited, you don’t participate in a </w:t>
            </w:r>
            <w:r w:rsidDel="00000000" w:rsidR="00000000" w:rsidRPr="00000000">
              <w:rPr>
                <w:rFonts w:ascii="EB Garamond" w:cs="EB Garamond" w:eastAsia="EB Garamond" w:hAnsi="EB Garamond"/>
                <w:i w:val="1"/>
                <w:sz w:val="24"/>
                <w:szCs w:val="24"/>
                <w:rtl w:val="0"/>
              </w:rPr>
              <w:t xml:space="preserve">zimmun</w:t>
            </w:r>
            <w:r w:rsidDel="00000000" w:rsidR="00000000" w:rsidRPr="00000000">
              <w:rPr>
                <w:rFonts w:ascii="EB Garamond" w:cs="EB Garamond" w:eastAsia="EB Garamond" w:hAnsi="EB Garamond"/>
                <w:sz w:val="24"/>
                <w:szCs w:val="24"/>
                <w:rtl w:val="0"/>
              </w:rPr>
              <w:t xml:space="preserve"> and you don’t make a </w:t>
            </w:r>
            <w:r w:rsidDel="00000000" w:rsidR="00000000" w:rsidRPr="00000000">
              <w:rPr>
                <w:rFonts w:ascii="EB Garamond" w:cs="EB Garamond" w:eastAsia="EB Garamond" w:hAnsi="EB Garamond"/>
                <w:i w:val="1"/>
                <w:sz w:val="24"/>
                <w:szCs w:val="24"/>
                <w:rtl w:val="0"/>
              </w:rPr>
              <w:t xml:space="preserve">beracha</w:t>
            </w:r>
            <w:r w:rsidDel="00000000" w:rsidR="00000000" w:rsidRPr="00000000">
              <w:rPr>
                <w:rFonts w:ascii="EB Garamond" w:cs="EB Garamond" w:eastAsia="EB Garamond" w:hAnsi="EB Garamond"/>
                <w:sz w:val="24"/>
                <w:szCs w:val="24"/>
                <w:rtl w:val="0"/>
              </w:rPr>
              <w:t xml:space="preserve"> on it before or after eating. If you ate something forbidden because your life was in danger, you should make a </w:t>
            </w:r>
            <w:r w:rsidDel="00000000" w:rsidR="00000000" w:rsidRPr="00000000">
              <w:rPr>
                <w:rFonts w:ascii="EB Garamond" w:cs="EB Garamond" w:eastAsia="EB Garamond" w:hAnsi="EB Garamond"/>
                <w:i w:val="1"/>
                <w:sz w:val="24"/>
                <w:szCs w:val="24"/>
                <w:rtl w:val="0"/>
              </w:rPr>
              <w:t xml:space="preserve">beracha</w:t>
            </w:r>
            <w:r w:rsidDel="00000000" w:rsidR="00000000" w:rsidRPr="00000000">
              <w:rPr>
                <w:rFonts w:ascii="EB Garamond" w:cs="EB Garamond" w:eastAsia="EB Garamond" w:hAnsi="EB Garamond"/>
                <w:sz w:val="24"/>
                <w:szCs w:val="24"/>
                <w:rtl w:val="0"/>
              </w:rPr>
              <w:t xml:space="preserve"> before and after eating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Open Sans" w:cs="Open Sans" w:eastAsia="Open Sans" w:hAnsi="Open Sans"/>
                <w:sz w:val="24"/>
                <w:szCs w:val="24"/>
              </w:rPr>
            </w:pP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ד</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סו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ף</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ע</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פ</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ש</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ינו</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סו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ד</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נ</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ז</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נ</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ע</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יו</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ין</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ע</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יו</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ת</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ח</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א</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סו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ף</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ם</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ד</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א</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סו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קו</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ם</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ס</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נ</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ה</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מ</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ב</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ר</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כ</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ים</w:t>
            </w:r>
            <w:r w:rsidDel="00000000" w:rsidR="00000000" w:rsidRPr="00000000">
              <w:rPr>
                <w:rFonts w:ascii="Open Sans" w:cs="Open Sans" w:eastAsia="Open Sans" w:hAnsi="Open Sans"/>
                <w:sz w:val="24"/>
                <w:szCs w:val="24"/>
                <w:rtl w:val="1"/>
              </w:rPr>
              <w:t xml:space="preserve"> </w:t>
            </w:r>
            <w:r w:rsidDel="00000000" w:rsidR="00000000" w:rsidRPr="00000000">
              <w:rPr>
                <w:rFonts w:ascii="Arial" w:cs="Arial" w:eastAsia="Arial" w:hAnsi="Arial"/>
                <w:sz w:val="24"/>
                <w:szCs w:val="24"/>
                <w:rtl w:val="1"/>
              </w:rPr>
              <w:t xml:space="preserve">ע</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ל</w:t>
            </w:r>
            <w:r w:rsidDel="00000000" w:rsidR="00000000" w:rsidRPr="00000000">
              <w:rPr>
                <w:rFonts w:ascii="Arial" w:cs="Arial" w:eastAsia="Arial" w:hAnsi="Arial"/>
                <w:sz w:val="24"/>
                <w:szCs w:val="24"/>
                <w:rtl w:val="1"/>
              </w:rPr>
              <w:t xml:space="preserve">ָ</w:t>
            </w:r>
            <w:r w:rsidDel="00000000" w:rsidR="00000000" w:rsidRPr="00000000">
              <w:rPr>
                <w:rFonts w:ascii="Arial" w:cs="Arial" w:eastAsia="Arial" w:hAnsi="Arial"/>
                <w:sz w:val="24"/>
                <w:szCs w:val="24"/>
                <w:rtl w:val="1"/>
              </w:rPr>
              <w:t xml:space="preserve">יו</w:t>
            </w:r>
            <w:r w:rsidDel="00000000" w:rsidR="00000000" w:rsidRPr="00000000">
              <w:rPr>
                <w:rFonts w:ascii="Open Sans" w:cs="Open Sans" w:eastAsia="Open Sans" w:hAnsi="Open Sans"/>
                <w:sz w:val="24"/>
                <w:szCs w:val="24"/>
                <w:rtl w:val="1"/>
              </w:rPr>
              <w:t xml:space="preserve">.</w:t>
            </w:r>
          </w:p>
        </w:tc>
      </w:tr>
    </w:tbl>
    <w:p w:rsidR="00000000" w:rsidDel="00000000" w:rsidP="00000000" w:rsidRDefault="00000000" w:rsidRPr="00000000" w14:paraId="00000016">
      <w:pPr>
        <w:ind w:left="72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7">
      <w:pPr>
        <w:numPr>
          <w:ilvl w:val="0"/>
          <w:numId w:val="1"/>
        </w:numPr>
        <w:ind w:left="720" w:hanging="36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Rabbi Eliezer Melamed Peninei Halacha, Berachot 12:10 (Modern-day Israel)</w:t>
      </w:r>
    </w:p>
    <w:tbl>
      <w:tblPr>
        <w:tblStyle w:val="Table6"/>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Someone who eats </w:t>
            </w:r>
            <w:r w:rsidDel="00000000" w:rsidR="00000000" w:rsidRPr="00000000">
              <w:rPr>
                <w:rFonts w:ascii="EB Garamond" w:cs="EB Garamond" w:eastAsia="EB Garamond" w:hAnsi="EB Garamond"/>
                <w:b w:val="1"/>
                <w:sz w:val="24"/>
                <w:szCs w:val="24"/>
                <w:rtl w:val="0"/>
              </w:rPr>
              <w:t xml:space="preserve">kosher food</w:t>
            </w:r>
            <w:r w:rsidDel="00000000" w:rsidR="00000000" w:rsidRPr="00000000">
              <w:rPr>
                <w:rFonts w:ascii="EB Garamond" w:cs="EB Garamond" w:eastAsia="EB Garamond" w:hAnsi="EB Garamond"/>
                <w:sz w:val="24"/>
                <w:szCs w:val="24"/>
                <w:rtl w:val="0"/>
              </w:rPr>
              <w:t xml:space="preserve"> but at time where it is forbidden to eat (for example, on a fast day, or on Saturday night before saying </w:t>
            </w:r>
            <w:r w:rsidDel="00000000" w:rsidR="00000000" w:rsidRPr="00000000">
              <w:rPr>
                <w:rFonts w:ascii="EB Garamond" w:cs="EB Garamond" w:eastAsia="EB Garamond" w:hAnsi="EB Garamond"/>
                <w:i w:val="1"/>
                <w:sz w:val="24"/>
                <w:szCs w:val="24"/>
                <w:rtl w:val="0"/>
              </w:rPr>
              <w:t xml:space="preserve">havdala</w:t>
            </w:r>
            <w:r w:rsidDel="00000000" w:rsidR="00000000" w:rsidRPr="00000000">
              <w:rPr>
                <w:rFonts w:ascii="EB Garamond" w:cs="EB Garamond" w:eastAsia="EB Garamond" w:hAnsi="EB Garamond"/>
                <w:sz w:val="24"/>
                <w:szCs w:val="24"/>
                <w:rtl w:val="0"/>
              </w:rPr>
              <w:t xml:space="preserve">, or before </w:t>
            </w:r>
            <w:r w:rsidDel="00000000" w:rsidR="00000000" w:rsidRPr="00000000">
              <w:rPr>
                <w:rFonts w:ascii="EB Garamond" w:cs="EB Garamond" w:eastAsia="EB Garamond" w:hAnsi="EB Garamond"/>
                <w:i w:val="1"/>
                <w:sz w:val="24"/>
                <w:szCs w:val="24"/>
                <w:rtl w:val="0"/>
              </w:rPr>
              <w:t xml:space="preserve">Shacharit</w:t>
            </w:r>
            <w:r w:rsidDel="00000000" w:rsidR="00000000" w:rsidRPr="00000000">
              <w:rPr>
                <w:rFonts w:ascii="EB Garamond" w:cs="EB Garamond" w:eastAsia="EB Garamond" w:hAnsi="EB Garamond"/>
                <w:sz w:val="24"/>
                <w:szCs w:val="24"/>
                <w:rtl w:val="0"/>
              </w:rPr>
              <w:t xml:space="preserve">, or outside of a </w:t>
            </w:r>
            <w:r w:rsidDel="00000000" w:rsidR="00000000" w:rsidRPr="00000000">
              <w:rPr>
                <w:rFonts w:ascii="EB Garamond" w:cs="EB Garamond" w:eastAsia="EB Garamond" w:hAnsi="EB Garamond"/>
                <w:i w:val="1"/>
                <w:sz w:val="24"/>
                <w:szCs w:val="24"/>
                <w:rtl w:val="0"/>
              </w:rPr>
              <w:t xml:space="preserve">sukka</w:t>
            </w:r>
            <w:r w:rsidDel="00000000" w:rsidR="00000000" w:rsidRPr="00000000">
              <w:rPr>
                <w:rFonts w:ascii="EB Garamond" w:cs="EB Garamond" w:eastAsia="EB Garamond" w:hAnsi="EB Garamond"/>
                <w:sz w:val="24"/>
                <w:szCs w:val="24"/>
                <w:rtl w:val="0"/>
              </w:rPr>
              <w:t xml:space="preserve"> on </w:t>
            </w:r>
            <w:r w:rsidDel="00000000" w:rsidR="00000000" w:rsidRPr="00000000">
              <w:rPr>
                <w:rFonts w:ascii="EB Garamond" w:cs="EB Garamond" w:eastAsia="EB Garamond" w:hAnsi="EB Garamond"/>
                <w:i w:val="1"/>
                <w:sz w:val="24"/>
                <w:szCs w:val="24"/>
                <w:rtl w:val="0"/>
              </w:rPr>
              <w:t xml:space="preserve">Sukkot</w:t>
            </w:r>
            <w:r w:rsidDel="00000000" w:rsidR="00000000" w:rsidRPr="00000000">
              <w:rPr>
                <w:rFonts w:ascii="EB Garamond" w:cs="EB Garamond" w:eastAsia="EB Garamond" w:hAnsi="EB Garamond"/>
                <w:sz w:val="24"/>
                <w:szCs w:val="24"/>
                <w:rtl w:val="0"/>
              </w:rPr>
              <w:t xml:space="preserve">, since </w:t>
            </w:r>
            <w:r w:rsidDel="00000000" w:rsidR="00000000" w:rsidRPr="00000000">
              <w:rPr>
                <w:rFonts w:ascii="EB Garamond" w:cs="EB Garamond" w:eastAsia="EB Garamond" w:hAnsi="EB Garamond"/>
                <w:b w:val="1"/>
                <w:sz w:val="24"/>
                <w:szCs w:val="24"/>
                <w:rtl w:val="0"/>
              </w:rPr>
              <w:t xml:space="preserve">the food itself is kosher</w:t>
            </w:r>
            <w:r w:rsidDel="00000000" w:rsidR="00000000" w:rsidRPr="00000000">
              <w:rPr>
                <w:rFonts w:ascii="EB Garamond" w:cs="EB Garamond" w:eastAsia="EB Garamond" w:hAnsi="EB Garamond"/>
                <w:sz w:val="24"/>
                <w:szCs w:val="24"/>
                <w:rtl w:val="0"/>
              </w:rPr>
              <w:t xml:space="preserve"> but it’s not the </w:t>
            </w:r>
            <w:r w:rsidDel="00000000" w:rsidR="00000000" w:rsidRPr="00000000">
              <w:rPr>
                <w:rFonts w:ascii="EB Garamond" w:cs="EB Garamond" w:eastAsia="EB Garamond" w:hAnsi="EB Garamond"/>
                <w:b w:val="1"/>
                <w:sz w:val="24"/>
                <w:szCs w:val="24"/>
                <w:rtl w:val="0"/>
              </w:rPr>
              <w:t xml:space="preserve">right time/place</w:t>
            </w:r>
            <w:r w:rsidDel="00000000" w:rsidR="00000000" w:rsidRPr="00000000">
              <w:rPr>
                <w:rFonts w:ascii="EB Garamond" w:cs="EB Garamond" w:eastAsia="EB Garamond" w:hAnsi="EB Garamond"/>
                <w:sz w:val="24"/>
                <w:szCs w:val="24"/>
                <w:rtl w:val="0"/>
              </w:rPr>
              <w:t xml:space="preserve"> to be eating it, you must make a </w:t>
            </w:r>
            <w:r w:rsidDel="00000000" w:rsidR="00000000" w:rsidRPr="00000000">
              <w:rPr>
                <w:rFonts w:ascii="EB Garamond" w:cs="EB Garamond" w:eastAsia="EB Garamond" w:hAnsi="EB Garamond"/>
                <w:i w:val="1"/>
                <w:sz w:val="24"/>
                <w:szCs w:val="24"/>
                <w:rtl w:val="0"/>
              </w:rPr>
              <w:t xml:space="preserve">beracha</w:t>
            </w:r>
            <w:r w:rsidDel="00000000" w:rsidR="00000000" w:rsidRPr="00000000">
              <w:rPr>
                <w:rFonts w:ascii="EB Garamond" w:cs="EB Garamond" w:eastAsia="EB Garamond" w:hAnsi="EB Garamond"/>
                <w:sz w:val="24"/>
                <w:szCs w:val="24"/>
                <w:rtl w:val="0"/>
              </w:rPr>
              <w:t xml:space="preserve"> on the benefit/enjoyment of eating the kosher food.</w:t>
            </w:r>
          </w:p>
        </w:tc>
      </w:tr>
    </w:tbl>
    <w:p w:rsidR="00000000" w:rsidDel="00000000" w:rsidP="00000000" w:rsidRDefault="00000000" w:rsidRPr="00000000" w14:paraId="00000019">
      <w:pPr>
        <w:bidi w:val="1"/>
        <w:ind w:left="0" w:firstLine="0"/>
        <w:jc w:val="left"/>
        <w:rPr>
          <w:rFonts w:ascii="EB Garamond" w:cs="EB Garamond" w:eastAsia="EB Garamond" w:hAnsi="EB Garamond"/>
          <w:sz w:val="24"/>
          <w:szCs w:val="24"/>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rFonts w:ascii="EB Garamond" w:cs="EB Garamond" w:eastAsia="EB Garamond" w:hAnsi="EB Garamond"/>
      </w:rPr>
    </w:pPr>
    <w:r w:rsidDel="00000000" w:rsidR="00000000" w:rsidRPr="00000000">
      <w:rPr>
        <w:rFonts w:ascii="EB Garamond" w:cs="EB Garamond" w:eastAsia="EB Garamond" w:hAnsi="EB Garamond"/>
        <w:rtl w:val="0"/>
      </w:rPr>
      <w:t xml:space="preserve">Noah Marlowe</w:t>
      <w:tab/>
      <w:tab/>
      <w:tab/>
      <w:tab/>
      <w:tab/>
      <w:tab/>
      <w:tab/>
      <w:tab/>
      <w:tab/>
      <w:tab/>
      <w:tab/>
      <w:t xml:space="preserve">ITIM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9" Type="http://schemas.openxmlformats.org/officeDocument/2006/relationships/font" Target="fonts/OpenSans-boldItalic.ttf"/><Relationship Id="rId5" Type="http://schemas.openxmlformats.org/officeDocument/2006/relationships/font" Target="fonts/EBGaramond-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